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A7" w:rsidRPr="004326E6" w:rsidRDefault="00E64158" w:rsidP="004616E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Malkara Augmentative and Alternative</w:t>
      </w:r>
      <w:r w:rsidR="004326E6" w:rsidRPr="004326E6">
        <w:rPr>
          <w:b/>
          <w:sz w:val="32"/>
          <w:szCs w:val="32"/>
        </w:rPr>
        <w:t xml:space="preserve"> Communication (AAC) </w:t>
      </w:r>
      <w:r w:rsidR="005E6482" w:rsidRPr="004326E6">
        <w:rPr>
          <w:b/>
          <w:sz w:val="32"/>
          <w:szCs w:val="32"/>
        </w:rPr>
        <w:t>Framework</w:t>
      </w:r>
    </w:p>
    <w:p w:rsidR="005E6482" w:rsidRPr="004326E6" w:rsidRDefault="005E6482" w:rsidP="005E6482">
      <w:pPr>
        <w:rPr>
          <w:b/>
          <w:sz w:val="28"/>
          <w:szCs w:val="28"/>
          <w:u w:val="single"/>
        </w:rPr>
      </w:pPr>
      <w:r w:rsidRPr="004326E6">
        <w:rPr>
          <w:b/>
          <w:sz w:val="28"/>
          <w:szCs w:val="28"/>
          <w:u w:val="single"/>
        </w:rPr>
        <w:t>Introductory Statement</w:t>
      </w:r>
    </w:p>
    <w:p w:rsidR="005E6482" w:rsidRDefault="005E6482" w:rsidP="005E6482">
      <w:r>
        <w:t xml:space="preserve">Malkara Specialist School has </w:t>
      </w:r>
      <w:r w:rsidR="00C704C1">
        <w:t xml:space="preserve">88 </w:t>
      </w:r>
      <w:r>
        <w:t xml:space="preserve">students from early childhood through to Year 6. The majority of students attending Malkara have </w:t>
      </w:r>
      <w:r w:rsidR="000A1490">
        <w:t>C</w:t>
      </w:r>
      <w:r>
        <w:t xml:space="preserve">omplex </w:t>
      </w:r>
      <w:r w:rsidR="000A1490">
        <w:t>C</w:t>
      </w:r>
      <w:r>
        <w:t xml:space="preserve">ommunication </w:t>
      </w:r>
      <w:r w:rsidR="000A1490">
        <w:t>N</w:t>
      </w:r>
      <w:r>
        <w:t>eeds</w:t>
      </w:r>
      <w:r w:rsidR="000A1490">
        <w:t xml:space="preserve"> (CCN)</w:t>
      </w:r>
      <w:r>
        <w:t xml:space="preserve">. Malkara prioritises </w:t>
      </w:r>
      <w:r w:rsidR="00506293">
        <w:t>each student to develop his or her</w:t>
      </w:r>
      <w:r>
        <w:t xml:space="preserve"> own effective means of communicating. Th</w:t>
      </w:r>
      <w:r w:rsidR="000A1490">
        <w:t>is professional</w:t>
      </w:r>
      <w:r>
        <w:t xml:space="preserve"> commitment is a major focus of each student’s Individual Learning Plan</w:t>
      </w:r>
      <w:r w:rsidR="000A1490">
        <w:t xml:space="preserve"> (ILP)</w:t>
      </w:r>
      <w:r>
        <w:t xml:space="preserve">. In partnership with </w:t>
      </w:r>
      <w:r w:rsidR="009F226B">
        <w:t>therapy service providers</w:t>
      </w:r>
      <w:r w:rsidR="00C210A3">
        <w:t xml:space="preserve"> </w:t>
      </w:r>
      <w:r w:rsidR="00506293">
        <w:t xml:space="preserve">each </w:t>
      </w:r>
      <w:r>
        <w:t>student</w:t>
      </w:r>
      <w:r w:rsidR="009E6DA4">
        <w:t>’</w:t>
      </w:r>
      <w:r>
        <w:t xml:space="preserve">s </w:t>
      </w:r>
      <w:r w:rsidR="000A1490">
        <w:t xml:space="preserve">communication capability and mode is profiled </w:t>
      </w:r>
      <w:r>
        <w:t xml:space="preserve">using a range of assessment instruments such as the Communication Matrix. A variety of Augmentative </w:t>
      </w:r>
      <w:r w:rsidR="009D78DD">
        <w:t xml:space="preserve">and </w:t>
      </w:r>
      <w:r>
        <w:t xml:space="preserve">Alternative Communication (AAC) systems are used across the school </w:t>
      </w:r>
      <w:r w:rsidR="000A1490">
        <w:t xml:space="preserve">and all staff </w:t>
      </w:r>
      <w:r w:rsidR="00506293">
        <w:t xml:space="preserve">are supported and required to become excellent communication partners, as the school is aware that the </w:t>
      </w:r>
      <w:r w:rsidR="00506293">
        <w:rPr>
          <w:rFonts w:eastAsia="Times New Roman" w:cs="Times New Roman"/>
        </w:rPr>
        <w:t xml:space="preserve">attitudes, beliefs and knowledge of communication partners is critical for the success of AAC. </w:t>
      </w:r>
      <w:r w:rsidR="00B67BED">
        <w:rPr>
          <w:rFonts w:eastAsia="Times New Roman" w:cs="Times New Roman"/>
        </w:rPr>
        <w:t>Communication</w:t>
      </w:r>
      <w:r w:rsidR="00506293">
        <w:rPr>
          <w:rFonts w:eastAsia="Times New Roman" w:cs="Times New Roman"/>
        </w:rPr>
        <w:t xml:space="preserve"> partner training and expectations lead to </w:t>
      </w:r>
      <w:r w:rsidR="00F84159">
        <w:rPr>
          <w:rFonts w:eastAsia="Times New Roman" w:cs="Times New Roman"/>
        </w:rPr>
        <w:t xml:space="preserve">the </w:t>
      </w:r>
      <w:r w:rsidR="00F84159">
        <w:t>skills</w:t>
      </w:r>
      <w:r w:rsidR="000A1490">
        <w:t xml:space="preserve"> </w:t>
      </w:r>
      <w:r w:rsidR="00506293">
        <w:t xml:space="preserve">supporting </w:t>
      </w:r>
      <w:r w:rsidR="000A1490">
        <w:t>effective communication with all students</w:t>
      </w:r>
      <w:r w:rsidR="00C76883">
        <w:t>.</w:t>
      </w:r>
    </w:p>
    <w:p w:rsidR="000A1490" w:rsidRPr="000A1490" w:rsidRDefault="000A1490" w:rsidP="000A149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Who is AAC for?</w:t>
      </w:r>
    </w:p>
    <w:p w:rsidR="000A1490" w:rsidRDefault="000A1490" w:rsidP="000A1490">
      <w:r>
        <w:t>A</w:t>
      </w:r>
      <w:r w:rsidRPr="001A1A4C">
        <w:t xml:space="preserve">nyone who has </w:t>
      </w:r>
      <w:r>
        <w:t>Complex Communication Needs (CCN), that is anyone who has difficulties communicating with speech alone</w:t>
      </w:r>
      <w:r w:rsidR="0059094D">
        <w:t>,</w:t>
      </w:r>
      <w:r>
        <w:t xml:space="preserve"> </w:t>
      </w:r>
      <w:proofErr w:type="spellStart"/>
      <w:r>
        <w:t>ie</w:t>
      </w:r>
      <w:proofErr w:type="spellEnd"/>
      <w:r>
        <w:t xml:space="preserve">. </w:t>
      </w:r>
      <w:proofErr w:type="gramStart"/>
      <w:r>
        <w:t>people</w:t>
      </w:r>
      <w:proofErr w:type="gramEnd"/>
      <w:r>
        <w:t xml:space="preserve"> who are non-verbal, people who only have a limited number of spoken words or people whose speech is difficult to understand.</w:t>
      </w:r>
    </w:p>
    <w:p w:rsidR="000A1490" w:rsidRDefault="00A055C7" w:rsidP="005E648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Malkara AAC Value statement</w:t>
      </w:r>
    </w:p>
    <w:p w:rsidR="00A055C7" w:rsidRPr="00A055C7" w:rsidRDefault="00A055C7" w:rsidP="005E6482">
      <w:r>
        <w:t xml:space="preserve">AAC is every </w:t>
      </w:r>
      <w:r w:rsidR="00506293">
        <w:t xml:space="preserve">staff member’s </w:t>
      </w:r>
      <w:r>
        <w:t>responsibility.</w:t>
      </w:r>
    </w:p>
    <w:p w:rsidR="00C76883" w:rsidRPr="004326E6" w:rsidRDefault="00C76883" w:rsidP="005E6482">
      <w:pPr>
        <w:rPr>
          <w:b/>
          <w:sz w:val="28"/>
          <w:szCs w:val="28"/>
          <w:u w:val="single"/>
        </w:rPr>
      </w:pPr>
      <w:r w:rsidRPr="004326E6">
        <w:rPr>
          <w:b/>
          <w:sz w:val="28"/>
          <w:szCs w:val="28"/>
          <w:u w:val="single"/>
        </w:rPr>
        <w:t>What is AAC?</w:t>
      </w:r>
    </w:p>
    <w:p w:rsidR="00C76883" w:rsidRDefault="003D2D20" w:rsidP="00C76883">
      <w:pPr>
        <w:pStyle w:val="ListParagraph"/>
        <w:numPr>
          <w:ilvl w:val="0"/>
          <w:numId w:val="1"/>
        </w:numPr>
      </w:pPr>
      <w:r w:rsidRPr="00C76883">
        <w:t>Augmentative</w:t>
      </w:r>
      <w:r w:rsidR="009D78DD">
        <w:t xml:space="preserve"> and Alternative</w:t>
      </w:r>
      <w:r w:rsidR="00C76883" w:rsidRPr="00C76883">
        <w:t xml:space="preserve"> </w:t>
      </w:r>
      <w:r w:rsidRPr="00C76883">
        <w:t>Communication</w:t>
      </w:r>
      <w:r w:rsidR="00C76883">
        <w:t xml:space="preserve"> (AAC</w:t>
      </w:r>
      <w:r w:rsidR="000A1490">
        <w:t>) is an</w:t>
      </w:r>
      <w:r w:rsidR="00C76883">
        <w:t xml:space="preserve"> area of specialised clinical and education practice that provides options and interventions for people with </w:t>
      </w:r>
      <w:r w:rsidR="000A1490">
        <w:t>C</w:t>
      </w:r>
      <w:r>
        <w:t>omplex</w:t>
      </w:r>
      <w:r w:rsidR="00C76883">
        <w:t xml:space="preserve"> </w:t>
      </w:r>
      <w:r w:rsidR="000A1490">
        <w:t>C</w:t>
      </w:r>
      <w:r w:rsidR="00C76883">
        <w:t>ommunication</w:t>
      </w:r>
      <w:r w:rsidR="000A1490">
        <w:t xml:space="preserve"> Needs</w:t>
      </w:r>
      <w:r w:rsidR="00C76883">
        <w:t xml:space="preserve">. The term </w:t>
      </w:r>
      <w:r w:rsidRPr="003D2D20">
        <w:rPr>
          <w:i/>
        </w:rPr>
        <w:t>augmentative</w:t>
      </w:r>
      <w:r w:rsidR="00C76883">
        <w:t xml:space="preserve"> means supplemental or additional to speech. </w:t>
      </w:r>
      <w:r>
        <w:t>Augmentative</w:t>
      </w:r>
      <w:r w:rsidR="00C76883">
        <w:t xml:space="preserve"> techniques (</w:t>
      </w:r>
      <w:proofErr w:type="spellStart"/>
      <w:r w:rsidR="00C76883">
        <w:t>eg</w:t>
      </w:r>
      <w:proofErr w:type="spellEnd"/>
      <w:r w:rsidR="00C76883">
        <w:t xml:space="preserve">. </w:t>
      </w:r>
      <w:r w:rsidR="000A1490">
        <w:t>g</w:t>
      </w:r>
      <w:r w:rsidR="00C76883">
        <w:t>estures and facial expressions</w:t>
      </w:r>
      <w:r w:rsidR="000A1490">
        <w:t>)</w:t>
      </w:r>
      <w:r w:rsidR="00C76883">
        <w:t xml:space="preserve"> are commonly </w:t>
      </w:r>
      <w:r>
        <w:t>used when communicating and interacting with others.</w:t>
      </w:r>
    </w:p>
    <w:p w:rsidR="003D2D20" w:rsidRDefault="00F05DEE" w:rsidP="00C76883">
      <w:pPr>
        <w:pStyle w:val="ListParagraph"/>
        <w:numPr>
          <w:ilvl w:val="0"/>
          <w:numId w:val="1"/>
        </w:numPr>
      </w:pPr>
      <w:proofErr w:type="gramStart"/>
      <w:r>
        <w:t>t</w:t>
      </w:r>
      <w:r w:rsidR="003D2D20">
        <w:t>he</w:t>
      </w:r>
      <w:proofErr w:type="gramEnd"/>
      <w:r w:rsidR="003D2D20">
        <w:t xml:space="preserve"> term </w:t>
      </w:r>
      <w:r w:rsidR="003D2D20" w:rsidRPr="003D2D20">
        <w:rPr>
          <w:i/>
        </w:rPr>
        <w:t>alternative</w:t>
      </w:r>
      <w:r w:rsidR="003D2D20">
        <w:t xml:space="preserve"> acknowledges that there are some individuals whose speech is sufficiently impaired that they must rely completely on standard and special </w:t>
      </w:r>
      <w:r w:rsidR="006F1C74">
        <w:t>augmentative</w:t>
      </w:r>
      <w:r w:rsidR="003D2D20">
        <w:t xml:space="preserve"> techniques, which do not augment speech but are alternatives to speech. (</w:t>
      </w:r>
      <w:proofErr w:type="spellStart"/>
      <w:r w:rsidR="003D2D20">
        <w:t>Vanderheiden</w:t>
      </w:r>
      <w:proofErr w:type="spellEnd"/>
      <w:r w:rsidR="003D2D20">
        <w:t xml:space="preserve"> &amp; Yoder, 1996)</w:t>
      </w:r>
    </w:p>
    <w:p w:rsidR="003D2D20" w:rsidRDefault="00EA0D1B" w:rsidP="003D2D20">
      <w:pPr>
        <w:ind w:left="360"/>
      </w:pPr>
      <w:r>
        <w:t>(A</w:t>
      </w:r>
      <w:r w:rsidR="000A1490">
        <w:t xml:space="preserve">dapted from </w:t>
      </w:r>
      <w:r w:rsidR="003D2D20">
        <w:t>Speech Pathology Australia AAC Position Paper 2004)</w:t>
      </w:r>
    </w:p>
    <w:p w:rsidR="000A1490" w:rsidRPr="004326E6" w:rsidRDefault="000A1490" w:rsidP="000A1490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Definitions in AAC</w:t>
      </w:r>
      <w:r w:rsidRPr="004326E6">
        <w:rPr>
          <w:b/>
          <w:sz w:val="28"/>
          <w:szCs w:val="28"/>
          <w:u w:val="single"/>
        </w:rPr>
        <w:t>?</w:t>
      </w:r>
      <w:proofErr w:type="gramEnd"/>
    </w:p>
    <w:p w:rsidR="003D2D20" w:rsidRPr="001A1A4C" w:rsidRDefault="003D2D20" w:rsidP="003D2D20">
      <w:pPr>
        <w:ind w:left="360"/>
        <w:rPr>
          <w:b/>
        </w:rPr>
      </w:pPr>
      <w:r w:rsidRPr="001A1A4C">
        <w:rPr>
          <w:b/>
        </w:rPr>
        <w:t>AAC SYSTEM</w:t>
      </w:r>
    </w:p>
    <w:p w:rsidR="003D2D20" w:rsidRDefault="001A1A4C" w:rsidP="003D2D20">
      <w:pPr>
        <w:ind w:left="360"/>
      </w:pPr>
      <w:r>
        <w:t>An AAC system is a</w:t>
      </w:r>
      <w:r w:rsidR="003D2D20">
        <w:t>n integrated group of components, including symbols, aids</w:t>
      </w:r>
      <w:r>
        <w:t>, strategies and techniques used by individ</w:t>
      </w:r>
      <w:r w:rsidR="003D2D20">
        <w:t xml:space="preserve">uals to enhance communication. The system serves to supplement </w:t>
      </w:r>
      <w:r w:rsidR="003D2D20">
        <w:lastRenderedPageBreak/>
        <w:t>any gestural, spoken and/or written communication abilities.</w:t>
      </w:r>
      <w:r>
        <w:t xml:space="preserve"> (American Speech and Hearing Association, 1991)</w:t>
      </w:r>
    </w:p>
    <w:p w:rsidR="001A1A4C" w:rsidRDefault="001A1A4C" w:rsidP="003D2D20">
      <w:pPr>
        <w:ind w:left="360"/>
        <w:rPr>
          <w:b/>
        </w:rPr>
      </w:pPr>
      <w:r w:rsidRPr="001A1A4C">
        <w:rPr>
          <w:b/>
        </w:rPr>
        <w:t>UNAIDED AND AIDED AAC</w:t>
      </w:r>
    </w:p>
    <w:p w:rsidR="001A1A4C" w:rsidRDefault="001A1A4C" w:rsidP="003D2D20">
      <w:pPr>
        <w:ind w:left="360"/>
      </w:pPr>
      <w:r>
        <w:t xml:space="preserve">UNAIDED AAC: All techniques that do not require any physical aids </w:t>
      </w:r>
      <w:proofErr w:type="spellStart"/>
      <w:r>
        <w:t>eg</w:t>
      </w:r>
      <w:proofErr w:type="spellEnd"/>
      <w:r>
        <w:t xml:space="preserve">. </w:t>
      </w:r>
      <w:proofErr w:type="gramStart"/>
      <w:r w:rsidR="001302C0">
        <w:t>g</w:t>
      </w:r>
      <w:r>
        <w:t>esture</w:t>
      </w:r>
      <w:proofErr w:type="gramEnd"/>
      <w:r>
        <w:t>, sign, facial expression.</w:t>
      </w:r>
    </w:p>
    <w:p w:rsidR="001A1A4C" w:rsidRDefault="001A1A4C" w:rsidP="001A1A4C">
      <w:pPr>
        <w:ind w:left="360"/>
      </w:pPr>
      <w:proofErr w:type="gramStart"/>
      <w:r>
        <w:t xml:space="preserve">AIDED AAC: Techniques where some type of physical object or device is used </w:t>
      </w:r>
      <w:proofErr w:type="spellStart"/>
      <w:r>
        <w:t>eg</w:t>
      </w:r>
      <w:proofErr w:type="spellEnd"/>
      <w:r>
        <w:t>.</w:t>
      </w:r>
      <w:proofErr w:type="gramEnd"/>
      <w:r>
        <w:t xml:space="preserve"> </w:t>
      </w:r>
      <w:proofErr w:type="gramStart"/>
      <w:r>
        <w:t>object</w:t>
      </w:r>
      <w:proofErr w:type="gramEnd"/>
      <w:r>
        <w:t xml:space="preserve"> symbols, communication boards, books, wallets.</w:t>
      </w:r>
      <w:r w:rsidR="00512C55">
        <w:t xml:space="preserve"> </w:t>
      </w:r>
      <w:r>
        <w:t xml:space="preserve"> Aided AAC is often divided into high technology and low technology or low/light systems.</w:t>
      </w:r>
    </w:p>
    <w:p w:rsidR="001A1A4C" w:rsidRDefault="001A1A4C" w:rsidP="001A1A4C">
      <w:pPr>
        <w:ind w:left="360"/>
      </w:pPr>
      <w:r>
        <w:t>(Speech Pathology Australia AAC Position Paper, 2004)</w:t>
      </w:r>
    </w:p>
    <w:p w:rsidR="001A1A4C" w:rsidRPr="004326E6" w:rsidRDefault="001A1A4C" w:rsidP="001A1A4C">
      <w:pPr>
        <w:rPr>
          <w:b/>
          <w:sz w:val="28"/>
          <w:szCs w:val="28"/>
          <w:u w:val="single"/>
        </w:rPr>
      </w:pPr>
      <w:r w:rsidRPr="004326E6">
        <w:rPr>
          <w:b/>
          <w:sz w:val="28"/>
          <w:szCs w:val="28"/>
          <w:u w:val="single"/>
        </w:rPr>
        <w:t>AAC Approaches at Malkara</w:t>
      </w:r>
    </w:p>
    <w:p w:rsidR="00195969" w:rsidRPr="00B67BED" w:rsidRDefault="00506293" w:rsidP="001A1A4C">
      <w:pPr>
        <w:pStyle w:val="ListParagraph"/>
        <w:numPr>
          <w:ilvl w:val="0"/>
          <w:numId w:val="3"/>
        </w:numPr>
      </w:pPr>
      <w:r w:rsidRPr="00B67BED">
        <w:t>Picture Exchange Communication System (PECS)</w:t>
      </w:r>
    </w:p>
    <w:p w:rsidR="008E2728" w:rsidRDefault="001A1A4C">
      <w:pPr>
        <w:pStyle w:val="ListParagraph"/>
        <w:numPr>
          <w:ilvl w:val="0"/>
          <w:numId w:val="3"/>
        </w:numPr>
      </w:pPr>
      <w:r>
        <w:t>Aided Language Displays</w:t>
      </w:r>
      <w:r w:rsidR="00FA68DA">
        <w:t xml:space="preserve"> (ALD)</w:t>
      </w:r>
      <w:r w:rsidR="00506293">
        <w:t>, including those from CHAT-Now</w:t>
      </w:r>
    </w:p>
    <w:p w:rsidR="001A1A4C" w:rsidRDefault="00BF0927" w:rsidP="001A1A4C">
      <w:pPr>
        <w:pStyle w:val="ListParagraph"/>
        <w:numPr>
          <w:ilvl w:val="0"/>
          <w:numId w:val="3"/>
        </w:numPr>
      </w:pPr>
      <w:r>
        <w:t>Pragmatic Organisation Dynamic Display (</w:t>
      </w:r>
      <w:r w:rsidR="001A1A4C">
        <w:t>PODD</w:t>
      </w:r>
      <w:r>
        <w:t>)</w:t>
      </w:r>
    </w:p>
    <w:p w:rsidR="001A1A4C" w:rsidRDefault="001A1A4C" w:rsidP="001A1A4C">
      <w:pPr>
        <w:pStyle w:val="ListParagraph"/>
        <w:numPr>
          <w:ilvl w:val="0"/>
          <w:numId w:val="3"/>
        </w:numPr>
      </w:pPr>
      <w:r>
        <w:t>Core Vocabulary</w:t>
      </w:r>
    </w:p>
    <w:p w:rsidR="00506293" w:rsidRDefault="00506293" w:rsidP="001A1A4C">
      <w:pPr>
        <w:pStyle w:val="ListParagraph"/>
        <w:numPr>
          <w:ilvl w:val="0"/>
          <w:numId w:val="3"/>
        </w:numPr>
      </w:pPr>
      <w:r>
        <w:t>Other evidence based approaches</w:t>
      </w:r>
      <w:r w:rsidR="009F226B">
        <w:t xml:space="preserve"> such as Proloquo2Go</w:t>
      </w:r>
    </w:p>
    <w:p w:rsidR="00506293" w:rsidRDefault="00506293" w:rsidP="001A1A4C">
      <w:pPr>
        <w:pStyle w:val="ListParagraph"/>
        <w:numPr>
          <w:ilvl w:val="0"/>
          <w:numId w:val="3"/>
        </w:numPr>
      </w:pPr>
      <w:r>
        <w:t>Each of these systems is supported in either low technology or high technology format as appropriate.</w:t>
      </w:r>
    </w:p>
    <w:p w:rsidR="006F1C74" w:rsidRPr="004326E6" w:rsidRDefault="006F1C74" w:rsidP="006F1C74">
      <w:pPr>
        <w:rPr>
          <w:b/>
          <w:sz w:val="28"/>
          <w:szCs w:val="28"/>
          <w:u w:val="single"/>
        </w:rPr>
      </w:pPr>
      <w:r w:rsidRPr="004326E6">
        <w:rPr>
          <w:b/>
          <w:sz w:val="28"/>
          <w:szCs w:val="28"/>
          <w:u w:val="single"/>
        </w:rPr>
        <w:t xml:space="preserve">AAC at Malkara in </w:t>
      </w:r>
      <w:r w:rsidR="009E6DA4">
        <w:rPr>
          <w:b/>
          <w:sz w:val="28"/>
          <w:szCs w:val="28"/>
          <w:u w:val="single"/>
        </w:rPr>
        <w:t>A</w:t>
      </w:r>
      <w:r w:rsidRPr="004326E6">
        <w:rPr>
          <w:b/>
          <w:sz w:val="28"/>
          <w:szCs w:val="28"/>
          <w:u w:val="single"/>
        </w:rPr>
        <w:t>ction</w:t>
      </w:r>
    </w:p>
    <w:p w:rsidR="00924D58" w:rsidRPr="00924D58" w:rsidRDefault="00924D58" w:rsidP="006F1C74">
      <w:r w:rsidRPr="00924D58">
        <w:t>We strive towards every student</w:t>
      </w:r>
      <w:r>
        <w:t xml:space="preserve"> with </w:t>
      </w:r>
      <w:r w:rsidR="009E6DA4">
        <w:t>C</w:t>
      </w:r>
      <w:r>
        <w:t xml:space="preserve">omplex </w:t>
      </w:r>
      <w:r w:rsidR="009E6DA4">
        <w:t>C</w:t>
      </w:r>
      <w:r>
        <w:t xml:space="preserve">ommunication </w:t>
      </w:r>
      <w:r w:rsidR="009E6DA4">
        <w:t>N</w:t>
      </w:r>
      <w:r>
        <w:t xml:space="preserve">eeds having an AAC system and </w:t>
      </w:r>
      <w:r w:rsidR="009E6DA4">
        <w:t>clear, consistently taught and modelled AAC goals. This whole- school focus is supported by the following professional commitments:</w:t>
      </w:r>
    </w:p>
    <w:p w:rsidR="006F1C74" w:rsidRDefault="006F1C74" w:rsidP="006F1C74">
      <w:pPr>
        <w:pStyle w:val="ListParagraph"/>
        <w:numPr>
          <w:ilvl w:val="0"/>
          <w:numId w:val="4"/>
        </w:numPr>
      </w:pPr>
      <w:r>
        <w:t>e</w:t>
      </w:r>
      <w:r w:rsidRPr="006F1C74">
        <w:t>very child will have an ide</w:t>
      </w:r>
      <w:r>
        <w:t>ntified communication system</w:t>
      </w:r>
    </w:p>
    <w:p w:rsidR="006F1C74" w:rsidRDefault="00FA68DA" w:rsidP="006F1C74">
      <w:pPr>
        <w:pStyle w:val="ListParagraph"/>
        <w:numPr>
          <w:ilvl w:val="0"/>
          <w:numId w:val="4"/>
        </w:numPr>
      </w:pPr>
      <w:r>
        <w:t xml:space="preserve">every child will have </w:t>
      </w:r>
      <w:r w:rsidR="006F1C74">
        <w:t xml:space="preserve"> an identified ‘yes’ and ‘no’ response</w:t>
      </w:r>
    </w:p>
    <w:p w:rsidR="006F1C74" w:rsidRDefault="006B0159" w:rsidP="006F1C74">
      <w:pPr>
        <w:pStyle w:val="ListParagraph"/>
        <w:numPr>
          <w:ilvl w:val="0"/>
          <w:numId w:val="4"/>
        </w:numPr>
      </w:pPr>
      <w:r>
        <w:t xml:space="preserve">every child </w:t>
      </w:r>
      <w:r w:rsidR="00FA68DA">
        <w:t>will have access to</w:t>
      </w:r>
      <w:r>
        <w:t xml:space="preserve"> their own personalised  AAC system </w:t>
      </w:r>
      <w:r w:rsidR="00FA68DA">
        <w:t xml:space="preserve"> all the time</w:t>
      </w:r>
    </w:p>
    <w:p w:rsidR="00FA68DA" w:rsidRDefault="00506293" w:rsidP="00FA68DA">
      <w:pPr>
        <w:pStyle w:val="ListParagraph"/>
        <w:numPr>
          <w:ilvl w:val="0"/>
          <w:numId w:val="5"/>
        </w:numPr>
      </w:pPr>
      <w:r>
        <w:t>AAC systems</w:t>
      </w:r>
      <w:r w:rsidR="00FA68DA">
        <w:t xml:space="preserve"> will be used across the school</w:t>
      </w:r>
    </w:p>
    <w:p w:rsidR="00FA68DA" w:rsidRDefault="00FA68DA" w:rsidP="006F1C74">
      <w:pPr>
        <w:pStyle w:val="ListParagraph"/>
        <w:numPr>
          <w:ilvl w:val="0"/>
          <w:numId w:val="4"/>
        </w:numPr>
      </w:pPr>
      <w:r>
        <w:t xml:space="preserve">every staff member will model a range of </w:t>
      </w:r>
      <w:r w:rsidR="00506293">
        <w:t>AAC systems as appropriate for the student</w:t>
      </w:r>
    </w:p>
    <w:p w:rsidR="00506293" w:rsidRDefault="00506293" w:rsidP="006F1C74">
      <w:pPr>
        <w:pStyle w:val="ListParagraph"/>
        <w:numPr>
          <w:ilvl w:val="0"/>
          <w:numId w:val="4"/>
        </w:numPr>
      </w:pPr>
      <w:r>
        <w:t>PODDs will be available and used throughout the school day, with modelling occurring at least 50% of the day</w:t>
      </w:r>
    </w:p>
    <w:p w:rsidR="00FA68DA" w:rsidRDefault="00FA68DA" w:rsidP="006F1C74">
      <w:pPr>
        <w:pStyle w:val="ListParagraph"/>
        <w:numPr>
          <w:ilvl w:val="0"/>
          <w:numId w:val="4"/>
        </w:numPr>
      </w:pPr>
      <w:r>
        <w:t>other AAC approaches will be modelled</w:t>
      </w:r>
      <w:r w:rsidR="009E6DA4">
        <w:t>, as appropriate</w:t>
      </w:r>
    </w:p>
    <w:p w:rsidR="00FA68DA" w:rsidRDefault="00750057" w:rsidP="006F1C74">
      <w:pPr>
        <w:pStyle w:val="ListParagraph"/>
        <w:numPr>
          <w:ilvl w:val="0"/>
          <w:numId w:val="4"/>
        </w:numPr>
      </w:pPr>
      <w:r>
        <w:t>student</w:t>
      </w:r>
      <w:r w:rsidR="00FA68DA">
        <w:t xml:space="preserve"> Communication Profiles will reflect the</w:t>
      </w:r>
      <w:r w:rsidR="009E6DA4">
        <w:t xml:space="preserve"> current level of skill as reflected in the</w:t>
      </w:r>
      <w:r w:rsidR="00FA68DA">
        <w:t xml:space="preserve"> Communication Matrix</w:t>
      </w:r>
    </w:p>
    <w:p w:rsidR="00506293" w:rsidRDefault="004326E6" w:rsidP="006F1C74">
      <w:pPr>
        <w:pStyle w:val="ListParagraph"/>
        <w:numPr>
          <w:ilvl w:val="0"/>
          <w:numId w:val="4"/>
        </w:numPr>
      </w:pPr>
      <w:r>
        <w:t xml:space="preserve">AAC approaches are supported by </w:t>
      </w:r>
      <w:r w:rsidR="00F84159">
        <w:t>e</w:t>
      </w:r>
      <w:r>
        <w:t xml:space="preserve">ngineering the </w:t>
      </w:r>
      <w:r w:rsidR="00F84159">
        <w:t>e</w:t>
      </w:r>
      <w:r>
        <w:t>nvironment</w:t>
      </w:r>
      <w:r w:rsidR="00506293">
        <w:t xml:space="preserve"> for successful communication in a range of situations.</w:t>
      </w:r>
    </w:p>
    <w:p w:rsidR="004326E6" w:rsidRDefault="00506293" w:rsidP="006F1C74">
      <w:pPr>
        <w:pStyle w:val="ListParagraph"/>
        <w:numPr>
          <w:ilvl w:val="0"/>
          <w:numId w:val="4"/>
        </w:numPr>
      </w:pPr>
      <w:proofErr w:type="gramStart"/>
      <w:r>
        <w:t>Staff are</w:t>
      </w:r>
      <w:proofErr w:type="gramEnd"/>
      <w:r>
        <w:t xml:space="preserve"> expected to be familiar with a range of pathways in PODD and to demonstrate how to use communication for a range of pragmatic functions, including commenting, questioning, requesting, continuing, cessation, negation and rejection.</w:t>
      </w:r>
    </w:p>
    <w:p w:rsidR="004326E6" w:rsidRDefault="004326E6">
      <w:pPr>
        <w:rPr>
          <w:b/>
          <w:u w:val="single"/>
        </w:rPr>
      </w:pPr>
    </w:p>
    <w:p w:rsidR="00FA68DA" w:rsidRPr="004326E6" w:rsidRDefault="0077147A" w:rsidP="004326E6">
      <w:pPr>
        <w:rPr>
          <w:b/>
          <w:sz w:val="28"/>
          <w:szCs w:val="28"/>
          <w:u w:val="single"/>
        </w:rPr>
      </w:pPr>
      <w:r w:rsidRPr="004326E6">
        <w:rPr>
          <w:b/>
          <w:sz w:val="28"/>
          <w:szCs w:val="28"/>
          <w:u w:val="single"/>
        </w:rPr>
        <w:lastRenderedPageBreak/>
        <w:t>Malkara</w:t>
      </w:r>
      <w:r w:rsidR="004326E6">
        <w:rPr>
          <w:b/>
          <w:sz w:val="28"/>
          <w:szCs w:val="28"/>
          <w:u w:val="single"/>
        </w:rPr>
        <w:t xml:space="preserve"> </w:t>
      </w:r>
      <w:r w:rsidR="00506293">
        <w:rPr>
          <w:b/>
          <w:sz w:val="28"/>
          <w:szCs w:val="28"/>
          <w:u w:val="single"/>
        </w:rPr>
        <w:t xml:space="preserve">Endorses the </w:t>
      </w:r>
      <w:r w:rsidR="00924D58" w:rsidRPr="004326E6">
        <w:rPr>
          <w:b/>
          <w:sz w:val="28"/>
          <w:szCs w:val="28"/>
          <w:u w:val="single"/>
        </w:rPr>
        <w:t>Communication</w:t>
      </w:r>
      <w:r w:rsidR="00FA68DA" w:rsidRPr="004326E6">
        <w:rPr>
          <w:b/>
          <w:sz w:val="28"/>
          <w:szCs w:val="28"/>
          <w:u w:val="single"/>
        </w:rPr>
        <w:t xml:space="preserve"> Bill of Rights</w:t>
      </w:r>
    </w:p>
    <w:p w:rsidR="00F16904" w:rsidRDefault="004326E6" w:rsidP="00FA68DA">
      <w:pPr>
        <w:rPr>
          <w:b/>
          <w:u w:val="single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347345</wp:posOffset>
            </wp:positionV>
            <wp:extent cx="5560695" cy="7162800"/>
            <wp:effectExtent l="0" t="0" r="1905" b="0"/>
            <wp:wrapTight wrapText="bothSides">
              <wp:wrapPolygon edited="0">
                <wp:start x="0" y="0"/>
                <wp:lineTo x="0" y="21543"/>
                <wp:lineTo x="21533" y="21543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414" t="16490" r="31848" b="9840"/>
                    <a:stretch/>
                  </pic:blipFill>
                  <pic:spPr bwMode="auto">
                    <a:xfrm>
                      <a:off x="0" y="0"/>
                      <a:ext cx="5560695" cy="716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A68DA" w:rsidRPr="00FA68DA" w:rsidRDefault="00FA68DA" w:rsidP="00FA68DA">
      <w:pPr>
        <w:rPr>
          <w:b/>
          <w:u w:val="single"/>
        </w:rPr>
      </w:pPr>
    </w:p>
    <w:p w:rsidR="006F1C74" w:rsidRPr="001A1A4C" w:rsidRDefault="006F1C74" w:rsidP="006F1C74"/>
    <w:sectPr w:rsidR="006F1C74" w:rsidRPr="001A1A4C" w:rsidSect="004F7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3CC1"/>
    <w:multiLevelType w:val="hybridMultilevel"/>
    <w:tmpl w:val="04D6F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E129C"/>
    <w:multiLevelType w:val="hybridMultilevel"/>
    <w:tmpl w:val="58F2962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5C3BAF"/>
    <w:multiLevelType w:val="hybridMultilevel"/>
    <w:tmpl w:val="CB645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250CB"/>
    <w:multiLevelType w:val="hybridMultilevel"/>
    <w:tmpl w:val="99D27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039A8"/>
    <w:multiLevelType w:val="hybridMultilevel"/>
    <w:tmpl w:val="36327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5E6482"/>
    <w:rsid w:val="000A1490"/>
    <w:rsid w:val="000A63E8"/>
    <w:rsid w:val="001302C0"/>
    <w:rsid w:val="00195969"/>
    <w:rsid w:val="001A1A4C"/>
    <w:rsid w:val="002F413F"/>
    <w:rsid w:val="0031321A"/>
    <w:rsid w:val="003D2D20"/>
    <w:rsid w:val="004326E6"/>
    <w:rsid w:val="004616E7"/>
    <w:rsid w:val="004F770F"/>
    <w:rsid w:val="00506293"/>
    <w:rsid w:val="00512C55"/>
    <w:rsid w:val="00560D4B"/>
    <w:rsid w:val="0059094D"/>
    <w:rsid w:val="005E6482"/>
    <w:rsid w:val="006B0159"/>
    <w:rsid w:val="006F1C74"/>
    <w:rsid w:val="00750057"/>
    <w:rsid w:val="0077147A"/>
    <w:rsid w:val="008278FF"/>
    <w:rsid w:val="0086367F"/>
    <w:rsid w:val="00896752"/>
    <w:rsid w:val="008E2728"/>
    <w:rsid w:val="009239B2"/>
    <w:rsid w:val="00924D58"/>
    <w:rsid w:val="009662E5"/>
    <w:rsid w:val="009D78DD"/>
    <w:rsid w:val="009E6DA4"/>
    <w:rsid w:val="009F226B"/>
    <w:rsid w:val="00A055C7"/>
    <w:rsid w:val="00A21A64"/>
    <w:rsid w:val="00B05A4E"/>
    <w:rsid w:val="00B67BED"/>
    <w:rsid w:val="00BE2E7F"/>
    <w:rsid w:val="00BF0927"/>
    <w:rsid w:val="00BF6A17"/>
    <w:rsid w:val="00C210A3"/>
    <w:rsid w:val="00C558D3"/>
    <w:rsid w:val="00C704C1"/>
    <w:rsid w:val="00C76883"/>
    <w:rsid w:val="00C80EFD"/>
    <w:rsid w:val="00CB3256"/>
    <w:rsid w:val="00DA69B2"/>
    <w:rsid w:val="00DD64DD"/>
    <w:rsid w:val="00E64158"/>
    <w:rsid w:val="00EA0D1B"/>
    <w:rsid w:val="00F05DEE"/>
    <w:rsid w:val="00F16904"/>
    <w:rsid w:val="00F4053F"/>
    <w:rsid w:val="00F84159"/>
    <w:rsid w:val="00FA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0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62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9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29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2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0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62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9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29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29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D1229-F6AB-4261-8F1A-2B6C0BA6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Malkara Augmentative and Alternative Communication (AAC) Framework 2015</vt:lpstr>
    </vt:vector>
  </TitlesOfParts>
  <Company>ACT Department of Education and Training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Malkara Augmentative and Alternative Communication (AAC) Framework 2015</dc:title>
  <dc:creator>ACT Department of Education and Training</dc:creator>
  <cp:lastModifiedBy>Myra Domigan</cp:lastModifiedBy>
  <cp:revision>2</cp:revision>
  <cp:lastPrinted>2015-03-30T23:40:00Z</cp:lastPrinted>
  <dcterms:created xsi:type="dcterms:W3CDTF">2015-07-08T05:49:00Z</dcterms:created>
  <dcterms:modified xsi:type="dcterms:W3CDTF">2015-07-08T05:49:00Z</dcterms:modified>
</cp:coreProperties>
</file>